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Памятка о противодействии преступлениям в сфере ИКТ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С учетом развития информационно-телекоммуникационных технологий, развивается и преступность в указанном направлении, в связи с чем, остро стоит вопрос противодействия обману и хищениям, совершенным с использованием современных информационно-телекоммуникационных технологий.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Например, злоумышленник звонит человеку, являющемуся пользователем банковской карты (под видом сотрудника службы поддержки или службы безопасности банка), и выясняет пароль, сославшись на необходимость решения проблемы в компьютерной системе или с банковским счетом.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Преступники, представляясь сотрудниками банка, а также представителями правоохранительных органов, ложно информируют граждан о попытках хищения с их счетов денежных средств или оформления от их имени кредитов, для предотвращения которых требуется самостоятельное получение кредита и перевод денежных средств на «безопасный счет». Дистанционные хищения также совершаются посредством размещения на открытых сайтах в сети «Интернет» заведомо ложных предложений об услугах и продаже товаров за денежное вознаграждение, которое в дальнейшем перечисляется на банковский счет виновного лица. Денежные средства неправомерно списываются со счетов потерпевших, когда в руки преступников попадают их мобильные телефоны с установленными банковскими сервисами.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То же самое касается и банковских карт: похитителями совершаются покупки путем оплаты товаров бесконтактным способом, при наличии пароля доступа – деньги снимаются в банкоматах. Так называемый фишинг - техника «социальной инженерии», направленная на получение конфиденциальной информации.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Обычно злоумышленник посылает потерпевшему e-mail, подделанный под официальное письмо – от банка или платежной системы – требующее «проверки» определенной информации, или совершения определенных действий.</w:t>
      </w:r>
    </w:p>
    <w:p w14:paraId="0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Это письмо как правило содержит ссылку на фальшивую веб- страницу, имитирующую официальную, с корпоративным логотипом и содержимым, и содержащую форму, требующую ввести необходимую для преступников информацию – от домашнего адреса до пин-кода банковской карты.</w:t>
      </w:r>
    </w:p>
    <w:p w14:paraId="0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Преступники реализуют множество других способов и инструментов для завладения чужими деньгами: используют дубликаты сим-карт потерпевших, а также устройства-скиммеры, считывающие информацию, содержащуюся на магнитной полосе банковской карты для последующего изготовления ее дубликата.</w:t>
      </w:r>
    </w:p>
    <w:p w14:paraId="0C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Рассылают в социальных сетях со взломанных страниц пользователей сообщения их знакомым с просьбами одолжить деньги, внедряют вредоносные программы в системы юридических лиц, похищают электронные ключи и учетные записи к ним в офисах организаций и т.д. Активно применяются возможности «IP-телефонии».</w:t>
      </w:r>
    </w:p>
    <w:p w14:paraId="0D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С использованием различных компьютерных программ и интернет-ресурсов формируются любые номера абонентов, в том числе выдаваемые за номера правоохранительных органов и кредитно-финансовых организаций.</w:t>
      </w:r>
    </w:p>
    <w:p w14:paraId="0E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Кроме того, существуют способы мошенничества, когда инициатива передачи денежных средств мошенникам происходит по собственной инициативе граждан. Получают все большее распространение мошенничества, прикрываемые привлечением денежных средств в инвестиционные проекты, в том числе криптовалюта, участие через брокера в операциях на фондовых рынках.</w:t>
      </w:r>
    </w:p>
    <w:p w14:paraId="0F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Перед тем как переводить свои денежные средства необходимо убедиться в наличии у организации лицензии на привлечение денежных средств граждан, лицензии на ведение брокерской деятельности - реестр брокеров размещен на официальном сайте Банка России.</w:t>
      </w:r>
    </w:p>
    <w:p w14:paraId="10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Кроме того, не следует переводить и передавать денежные средства незнакомым лицам, действующим под различными предлогами, в том числе по поручению или от имени родственников или знакомых.</w:t>
      </w:r>
    </w:p>
    <w:p w14:paraId="11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12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13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25.</w:t>
      </w:r>
      <w:r>
        <w:rPr>
          <w:rFonts w:ascii="Times New Roman" w:hAnsi="Times New Roman"/>
          <w:i w:val="1"/>
          <w:sz w:val="28"/>
        </w:rPr>
        <w:t>08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14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" w:type="paragraph">
    <w:name w:val="Strong"/>
    <w:basedOn w:val="Style_10"/>
    <w:link w:val="Style_1_ch"/>
    <w:rPr>
      <w:b w:val="1"/>
    </w:rPr>
  </w:style>
  <w:style w:styleId="Style_1_ch" w:type="character">
    <w:name w:val="Strong"/>
    <w:basedOn w:val="Style_10_ch"/>
    <w:link w:val="Style_1"/>
    <w:rPr>
      <w:b w:val="1"/>
    </w:rPr>
  </w:style>
  <w:style w:styleId="Style_11" w:type="paragraph">
    <w:name w:val="Normal (Web)"/>
    <w:basedOn w:val="Style_2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2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2025-12-25T11:48:04Z</dcterms:created>
  <dcterms:modified xsi:type="dcterms:W3CDTF">2025-12-25T11:48:04Z</dcterms:modified>
</cp:coreProperties>
</file>